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B085" w14:textId="200E9221" w:rsidR="003D40ED" w:rsidRDefault="003D40ED" w:rsidP="003D40ED">
      <w:pPr>
        <w:pStyle w:val="Kop1"/>
        <w:jc w:val="center"/>
      </w:pPr>
      <w:r>
        <w:t>About Cenex Nederland</w:t>
      </w:r>
    </w:p>
    <w:p w14:paraId="6A08BE99" w14:textId="77777777" w:rsidR="003D40ED" w:rsidRPr="003D40ED" w:rsidRDefault="003D40ED" w:rsidP="00AB48C3">
      <w:pPr>
        <w:spacing w:after="0"/>
      </w:pPr>
    </w:p>
    <w:p w14:paraId="374617EC" w14:textId="211EB560" w:rsidR="003D40ED" w:rsidRDefault="00C70D55" w:rsidP="00AB48C3">
      <w:pPr>
        <w:spacing w:after="0"/>
        <w:rPr>
          <w:sz w:val="20"/>
          <w:szCs w:val="20"/>
        </w:rPr>
      </w:pPr>
      <w:hyperlink r:id="rId8" w:history="1">
        <w:r w:rsidR="003D40ED" w:rsidRPr="00444267">
          <w:rPr>
            <w:rStyle w:val="Hyperlink"/>
            <w:sz w:val="20"/>
            <w:szCs w:val="20"/>
          </w:rPr>
          <w:t>Cenex Nederland</w:t>
        </w:r>
      </w:hyperlink>
      <w:r w:rsidR="003D40ED" w:rsidRPr="00AB48C3">
        <w:rPr>
          <w:sz w:val="20"/>
          <w:szCs w:val="20"/>
        </w:rPr>
        <w:t xml:space="preserve"> (Cenex NL), officially established in June 2018, is an independent not-for-profit Consultancy and Research Technology Organisation. We specialise in zero-emission vehicle and energy infrastructure, smart mobility, and related circular economy applications. Our mission is to support our customers and partners in making the world a better place to live and travel in. Naturally, this means we are also committed to stimulate the energy transition and achieve the UN Sustainable Development Goals.</w:t>
      </w:r>
    </w:p>
    <w:p w14:paraId="1166B953" w14:textId="77777777" w:rsidR="00AB48C3" w:rsidRPr="00AB48C3" w:rsidRDefault="00AB48C3" w:rsidP="00AB48C3">
      <w:pPr>
        <w:spacing w:after="0"/>
        <w:rPr>
          <w:sz w:val="20"/>
          <w:szCs w:val="20"/>
        </w:rPr>
      </w:pPr>
    </w:p>
    <w:p w14:paraId="17108803" w14:textId="0F77EDAF" w:rsidR="003D40ED" w:rsidRPr="00AB48C3" w:rsidRDefault="003D40ED" w:rsidP="00AB48C3">
      <w:pPr>
        <w:spacing w:after="0"/>
        <w:rPr>
          <w:sz w:val="20"/>
          <w:szCs w:val="20"/>
        </w:rPr>
      </w:pPr>
      <w:r w:rsidRPr="00AB48C3">
        <w:rPr>
          <w:sz w:val="20"/>
          <w:szCs w:val="20"/>
        </w:rPr>
        <w:t>In addition to our team in the Netherlands</w:t>
      </w:r>
      <w:r w:rsidR="00DD66BC">
        <w:rPr>
          <w:sz w:val="20"/>
          <w:szCs w:val="20"/>
        </w:rPr>
        <w:t>,</w:t>
      </w:r>
      <w:r w:rsidRPr="00AB48C3">
        <w:rPr>
          <w:sz w:val="20"/>
          <w:szCs w:val="20"/>
        </w:rPr>
        <w:t xml:space="preserve"> we work closely with our strategic partner in the UK, </w:t>
      </w:r>
      <w:hyperlink r:id="rId9" w:history="1">
        <w:r w:rsidRPr="00AB48C3">
          <w:rPr>
            <w:rStyle w:val="Hyperlink"/>
            <w:sz w:val="20"/>
            <w:szCs w:val="20"/>
          </w:rPr>
          <w:t>Cenex</w:t>
        </w:r>
      </w:hyperlink>
      <w:r w:rsidRPr="00AB48C3">
        <w:rPr>
          <w:sz w:val="20"/>
          <w:szCs w:val="20"/>
        </w:rPr>
        <w:t xml:space="preserve">, </w:t>
      </w:r>
      <w:r w:rsidR="00754E8B" w:rsidRPr="00AB48C3">
        <w:rPr>
          <w:sz w:val="20"/>
          <w:szCs w:val="20"/>
        </w:rPr>
        <w:t>(</w:t>
      </w:r>
      <w:r w:rsidRPr="00AB48C3">
        <w:rPr>
          <w:sz w:val="20"/>
          <w:szCs w:val="20"/>
        </w:rPr>
        <w:t>est. in 2005). This means we have access to an additional team of over 20 specialists with a wide range of complementing knowledge and skills to strengthen our team and ability to provide a great range of expertise to our partners and customers. Amsterdam may be our hometown, but our activities and ambitious agenda have an international reach as we work in international R&amp;D projects and work with customers within and outside of the Netherlands.</w:t>
      </w:r>
    </w:p>
    <w:p w14:paraId="747F65DF" w14:textId="67976D39" w:rsidR="003D40ED" w:rsidRDefault="003D40ED" w:rsidP="00AB48C3">
      <w:pPr>
        <w:spacing w:after="0"/>
        <w:rPr>
          <w:rFonts w:asciiTheme="majorHAnsi" w:eastAsia="Times New Roman" w:hAnsiTheme="majorHAnsi" w:cstheme="majorBidi"/>
          <w:color w:val="2F5496" w:themeColor="accent1" w:themeShade="BF"/>
          <w:sz w:val="32"/>
          <w:szCs w:val="32"/>
        </w:rPr>
      </w:pPr>
      <w:r>
        <w:rPr>
          <w:rFonts w:eastAsia="Times New Roman"/>
        </w:rPr>
        <w:br w:type="page"/>
      </w:r>
    </w:p>
    <w:p w14:paraId="5A279641" w14:textId="77777777" w:rsidR="009A2D73" w:rsidRDefault="009A2D73" w:rsidP="009A2D73">
      <w:pPr>
        <w:pStyle w:val="Kop1"/>
        <w:jc w:val="center"/>
        <w:rPr>
          <w:rFonts w:eastAsia="Times New Roman"/>
        </w:rPr>
      </w:pPr>
      <w:r w:rsidRPr="003D40ED">
        <w:rPr>
          <w:rFonts w:eastAsia="Times New Roman"/>
        </w:rPr>
        <w:lastRenderedPageBreak/>
        <w:t xml:space="preserve">Circular design principles </w:t>
      </w:r>
      <w:r>
        <w:rPr>
          <w:rFonts w:eastAsia="Times New Roman"/>
        </w:rPr>
        <w:t xml:space="preserve">for </w:t>
      </w:r>
      <w:r w:rsidRPr="003D40ED">
        <w:rPr>
          <w:rFonts w:eastAsia="Times New Roman"/>
        </w:rPr>
        <w:t>charging infr</w:t>
      </w:r>
      <w:r>
        <w:rPr>
          <w:rFonts w:eastAsia="Times New Roman"/>
        </w:rPr>
        <w:t>astructure</w:t>
      </w:r>
    </w:p>
    <w:p w14:paraId="3BBC3140" w14:textId="77777777" w:rsidR="009A2D73" w:rsidRDefault="009A2D73" w:rsidP="009A2D73">
      <w:pPr>
        <w:rPr>
          <w:rFonts w:eastAsia="Times New Roman"/>
        </w:rPr>
      </w:pPr>
    </w:p>
    <w:p w14:paraId="3DBA44D5" w14:textId="77777777" w:rsidR="009A2D73" w:rsidRPr="00AB48C3" w:rsidRDefault="009A2D73" w:rsidP="009A2D73">
      <w:pPr>
        <w:spacing w:after="0"/>
        <w:rPr>
          <w:rFonts w:eastAsia="Times New Roman"/>
          <w:sz w:val="20"/>
          <w:szCs w:val="20"/>
        </w:rPr>
      </w:pPr>
      <w:r w:rsidRPr="00AB48C3">
        <w:rPr>
          <w:rFonts w:eastAsia="Times New Roman"/>
          <w:sz w:val="20"/>
          <w:szCs w:val="20"/>
        </w:rPr>
        <w:t>Location: Amsterdam, the Netherlands</w:t>
      </w:r>
    </w:p>
    <w:p w14:paraId="2DEF7E64" w14:textId="431446F4" w:rsidR="009A2D73" w:rsidRPr="00AB48C3" w:rsidRDefault="009A2D73" w:rsidP="009A2D73">
      <w:pPr>
        <w:spacing w:after="0"/>
        <w:rPr>
          <w:rFonts w:eastAsia="Times New Roman"/>
          <w:sz w:val="20"/>
          <w:szCs w:val="20"/>
        </w:rPr>
      </w:pPr>
      <w:r w:rsidRPr="00AB48C3">
        <w:rPr>
          <w:rFonts w:eastAsia="Times New Roman"/>
          <w:sz w:val="20"/>
          <w:szCs w:val="20"/>
        </w:rPr>
        <w:t xml:space="preserve">Start date: </w:t>
      </w:r>
      <w:r w:rsidR="004909D0">
        <w:rPr>
          <w:rFonts w:eastAsia="Times New Roman"/>
          <w:sz w:val="20"/>
          <w:szCs w:val="20"/>
        </w:rPr>
        <w:t>September</w:t>
      </w:r>
      <w:r w:rsidRPr="00AB48C3">
        <w:rPr>
          <w:rFonts w:eastAsia="Times New Roman"/>
          <w:sz w:val="20"/>
          <w:szCs w:val="20"/>
        </w:rPr>
        <w:t xml:space="preserve"> / </w:t>
      </w:r>
      <w:r w:rsidR="004909D0">
        <w:rPr>
          <w:rFonts w:eastAsia="Times New Roman"/>
          <w:sz w:val="20"/>
          <w:szCs w:val="20"/>
        </w:rPr>
        <w:t>October</w:t>
      </w:r>
      <w:r w:rsidRPr="00AB48C3">
        <w:rPr>
          <w:rFonts w:eastAsia="Times New Roman"/>
          <w:sz w:val="20"/>
          <w:szCs w:val="20"/>
        </w:rPr>
        <w:t xml:space="preserve"> 2021</w:t>
      </w:r>
    </w:p>
    <w:p w14:paraId="57D08217" w14:textId="77777777" w:rsidR="009A2D73" w:rsidRPr="00AB48C3" w:rsidRDefault="009A2D73" w:rsidP="009A2D73">
      <w:pPr>
        <w:spacing w:after="0"/>
        <w:rPr>
          <w:rFonts w:eastAsia="Times New Roman"/>
          <w:sz w:val="20"/>
          <w:szCs w:val="20"/>
        </w:rPr>
      </w:pPr>
      <w:r w:rsidRPr="00AB48C3">
        <w:rPr>
          <w:rFonts w:eastAsia="Times New Roman"/>
          <w:sz w:val="20"/>
          <w:szCs w:val="20"/>
        </w:rPr>
        <w:t>Duration: 5-6 months</w:t>
      </w:r>
    </w:p>
    <w:p w14:paraId="751B9C4C" w14:textId="77777777" w:rsidR="009A2D73" w:rsidRPr="00AB48C3" w:rsidRDefault="009A2D73" w:rsidP="009A2D73">
      <w:pPr>
        <w:spacing w:after="0"/>
        <w:rPr>
          <w:rFonts w:eastAsia="Times New Roman"/>
          <w:sz w:val="20"/>
          <w:szCs w:val="20"/>
        </w:rPr>
      </w:pPr>
    </w:p>
    <w:p w14:paraId="3F47F7AF" w14:textId="77777777" w:rsidR="009A2D73" w:rsidRPr="00AB48C3" w:rsidRDefault="009A2D73" w:rsidP="009A2D73">
      <w:pPr>
        <w:spacing w:after="0"/>
        <w:rPr>
          <w:rFonts w:eastAsia="Times New Roman"/>
          <w:b/>
          <w:bCs/>
          <w:sz w:val="20"/>
          <w:szCs w:val="20"/>
        </w:rPr>
      </w:pPr>
      <w:r w:rsidRPr="00AB48C3">
        <w:rPr>
          <w:rFonts w:eastAsia="Times New Roman"/>
          <w:b/>
          <w:bCs/>
          <w:sz w:val="20"/>
          <w:szCs w:val="20"/>
        </w:rPr>
        <w:t>Context:</w:t>
      </w:r>
    </w:p>
    <w:p w14:paraId="46F5D9F4" w14:textId="057BEBC3" w:rsidR="009A2D73" w:rsidRPr="00AB48C3" w:rsidRDefault="009A2D73" w:rsidP="009A2D73">
      <w:pPr>
        <w:spacing w:after="0"/>
        <w:rPr>
          <w:rFonts w:eastAsia="Times New Roman"/>
          <w:sz w:val="20"/>
          <w:szCs w:val="20"/>
        </w:rPr>
      </w:pPr>
      <w:r w:rsidRPr="00AB48C3">
        <w:rPr>
          <w:rFonts w:eastAsia="Times New Roman"/>
          <w:sz w:val="20"/>
          <w:szCs w:val="20"/>
        </w:rPr>
        <w:t xml:space="preserve">The market share of Electric Vehicles (EVs) is </w:t>
      </w:r>
      <w:r w:rsidR="00DD66BC">
        <w:rPr>
          <w:rFonts w:eastAsia="Times New Roman"/>
          <w:sz w:val="20"/>
          <w:szCs w:val="20"/>
        </w:rPr>
        <w:t>snowballing</w:t>
      </w:r>
      <w:r w:rsidRPr="00AB48C3">
        <w:rPr>
          <w:rFonts w:eastAsia="Times New Roman"/>
          <w:sz w:val="20"/>
          <w:szCs w:val="20"/>
        </w:rPr>
        <w:t>, and in parallel, so is the demand for EV charging infrastructure. The charging technology itself is also continuously developing and subject to innovative changes. Chargers may require maintenance, repairs, or upgrades, and will eventually come to their end-of-life.</w:t>
      </w:r>
      <w:r>
        <w:rPr>
          <w:rFonts w:eastAsia="Times New Roman"/>
          <w:sz w:val="20"/>
          <w:szCs w:val="20"/>
        </w:rPr>
        <w:t xml:space="preserve"> </w:t>
      </w:r>
      <w:r w:rsidR="00DD66BC">
        <w:rPr>
          <w:rFonts w:eastAsia="Times New Roman"/>
          <w:sz w:val="20"/>
          <w:szCs w:val="20"/>
        </w:rPr>
        <w:t>D</w:t>
      </w:r>
      <w:r w:rsidRPr="00AB48C3">
        <w:rPr>
          <w:rFonts w:eastAsia="Times New Roman"/>
          <w:sz w:val="20"/>
          <w:szCs w:val="20"/>
        </w:rPr>
        <w:t xml:space="preserve">ifferent components and materials will need </w:t>
      </w:r>
      <w:r w:rsidR="00DD66BC">
        <w:rPr>
          <w:rFonts w:eastAsia="Times New Roman"/>
          <w:sz w:val="20"/>
          <w:szCs w:val="20"/>
        </w:rPr>
        <w:t>replacements</w:t>
      </w:r>
      <w:r w:rsidRPr="00AB48C3">
        <w:rPr>
          <w:rFonts w:eastAsia="Times New Roman"/>
          <w:sz w:val="20"/>
          <w:szCs w:val="20"/>
        </w:rPr>
        <w:t>, repurpo</w:t>
      </w:r>
      <w:r w:rsidR="00DD66BC">
        <w:rPr>
          <w:rFonts w:eastAsia="Times New Roman"/>
          <w:sz w:val="20"/>
          <w:szCs w:val="20"/>
        </w:rPr>
        <w:t>sing</w:t>
      </w:r>
      <w:r w:rsidRPr="00AB48C3">
        <w:rPr>
          <w:rFonts w:eastAsia="Times New Roman"/>
          <w:sz w:val="20"/>
          <w:szCs w:val="20"/>
        </w:rPr>
        <w:t xml:space="preserve"> or </w:t>
      </w:r>
      <w:r w:rsidR="00DD66BC">
        <w:rPr>
          <w:rFonts w:eastAsia="Times New Roman"/>
          <w:sz w:val="20"/>
          <w:szCs w:val="20"/>
        </w:rPr>
        <w:t xml:space="preserve">be </w:t>
      </w:r>
      <w:r w:rsidRPr="00AB48C3">
        <w:rPr>
          <w:rFonts w:eastAsia="Times New Roman"/>
          <w:sz w:val="20"/>
          <w:szCs w:val="20"/>
        </w:rPr>
        <w:t xml:space="preserve">recycled as much as possible. Within the circular economy design principles, </w:t>
      </w:r>
      <w:r w:rsidR="00DD66BC">
        <w:rPr>
          <w:rFonts w:eastAsia="Times New Roman"/>
          <w:sz w:val="20"/>
          <w:szCs w:val="20"/>
        </w:rPr>
        <w:t>par</w:t>
      </w:r>
      <w:r w:rsidRPr="00AB48C3">
        <w:rPr>
          <w:rFonts w:eastAsia="Times New Roman"/>
          <w:sz w:val="20"/>
          <w:szCs w:val="20"/>
        </w:rPr>
        <w:t>ts are ideally made from recycled material and designed to be replaced easily or processed to become a resource for another product. EV charger manufacturers may not currently be manufacturing their charge units following these principles.</w:t>
      </w:r>
    </w:p>
    <w:p w14:paraId="1D6CC9FC" w14:textId="77777777" w:rsidR="004909D0" w:rsidRPr="00AB48C3" w:rsidRDefault="004909D0" w:rsidP="009A2D73">
      <w:pPr>
        <w:spacing w:after="0"/>
        <w:rPr>
          <w:rFonts w:eastAsia="Times New Roman"/>
          <w:sz w:val="20"/>
          <w:szCs w:val="20"/>
        </w:rPr>
      </w:pPr>
    </w:p>
    <w:p w14:paraId="56C2C32E" w14:textId="78951233" w:rsidR="004909D0" w:rsidRDefault="009A2D73" w:rsidP="009A2D73">
      <w:pPr>
        <w:spacing w:after="0"/>
        <w:rPr>
          <w:rFonts w:eastAsia="Times New Roman"/>
          <w:b/>
          <w:bCs/>
          <w:sz w:val="20"/>
          <w:szCs w:val="20"/>
        </w:rPr>
      </w:pPr>
      <w:r w:rsidRPr="00AB48C3">
        <w:rPr>
          <w:rFonts w:eastAsia="Times New Roman"/>
          <w:b/>
          <w:bCs/>
          <w:sz w:val="20"/>
          <w:szCs w:val="20"/>
        </w:rPr>
        <w:t>The Internship Assignment:</w:t>
      </w:r>
    </w:p>
    <w:p w14:paraId="05C3C717" w14:textId="1A86C890" w:rsidR="004909D0" w:rsidRDefault="004909D0" w:rsidP="004909D0">
      <w:pPr>
        <w:spacing w:after="0"/>
        <w:rPr>
          <w:rFonts w:eastAsia="Times New Roman"/>
          <w:sz w:val="20"/>
          <w:szCs w:val="20"/>
        </w:rPr>
      </w:pPr>
      <w:r>
        <w:rPr>
          <w:rFonts w:eastAsia="Times New Roman"/>
          <w:sz w:val="20"/>
          <w:szCs w:val="20"/>
        </w:rPr>
        <w:t>What are purchasing organisation asking for, and are they asking for the right things? How do the supplier</w:t>
      </w:r>
      <w:r>
        <w:rPr>
          <w:rFonts w:eastAsia="Times New Roman"/>
          <w:sz w:val="20"/>
          <w:szCs w:val="20"/>
        </w:rPr>
        <w:t xml:space="preserve">s </w:t>
      </w:r>
      <w:r>
        <w:rPr>
          <w:rFonts w:eastAsia="Times New Roman"/>
          <w:sz w:val="20"/>
          <w:szCs w:val="20"/>
        </w:rPr>
        <w:t>apply sustainability to their products, and are they doing the right things? To what extend do supply and demand match, and how could this be improved to stimulate or to bring charging infrastructure to the next level for sustainability and/or circularity.</w:t>
      </w:r>
    </w:p>
    <w:p w14:paraId="2A609D92" w14:textId="77777777" w:rsidR="009A2D73" w:rsidRPr="00AB48C3" w:rsidRDefault="009A2D73" w:rsidP="009A2D73">
      <w:pPr>
        <w:spacing w:after="0"/>
        <w:rPr>
          <w:rFonts w:eastAsia="Times New Roman"/>
          <w:sz w:val="20"/>
          <w:szCs w:val="20"/>
        </w:rPr>
      </w:pPr>
    </w:p>
    <w:p w14:paraId="5789AB60" w14:textId="3F9FCAC1" w:rsidR="009A2D73" w:rsidRPr="00AB48C3" w:rsidRDefault="009A2D73" w:rsidP="009A2D73">
      <w:pPr>
        <w:spacing w:after="0"/>
        <w:rPr>
          <w:rFonts w:eastAsia="Times New Roman"/>
          <w:sz w:val="20"/>
          <w:szCs w:val="20"/>
        </w:rPr>
      </w:pPr>
      <w:r w:rsidRPr="00AB48C3">
        <w:rPr>
          <w:rFonts w:eastAsia="Times New Roman"/>
          <w:sz w:val="20"/>
          <w:szCs w:val="20"/>
        </w:rPr>
        <w:t>If you are interested in circular design principles and like to dive deeper into the emerging world of EVs and its charging infrastructure, we are happy to discuss what you would like to research in this area!</w:t>
      </w:r>
    </w:p>
    <w:p w14:paraId="57806AB3" w14:textId="77777777" w:rsidR="009A2D73" w:rsidRPr="00AB48C3" w:rsidRDefault="009A2D73" w:rsidP="009A2D73">
      <w:pPr>
        <w:spacing w:after="0"/>
        <w:rPr>
          <w:rFonts w:eastAsia="Times New Roman"/>
          <w:b/>
          <w:bCs/>
          <w:sz w:val="20"/>
          <w:szCs w:val="20"/>
        </w:rPr>
      </w:pPr>
    </w:p>
    <w:p w14:paraId="748A3349" w14:textId="77777777" w:rsidR="009A2D73" w:rsidRPr="00A728EA" w:rsidRDefault="009A2D73" w:rsidP="009A2D73">
      <w:pPr>
        <w:spacing w:after="0"/>
        <w:rPr>
          <w:rFonts w:eastAsia="Times New Roman"/>
          <w:b/>
          <w:bCs/>
          <w:sz w:val="20"/>
          <w:szCs w:val="20"/>
          <w:lang w:val="nl-NL"/>
        </w:rPr>
      </w:pPr>
      <w:r w:rsidRPr="00A728EA">
        <w:rPr>
          <w:rFonts w:eastAsia="Times New Roman"/>
          <w:b/>
          <w:bCs/>
          <w:sz w:val="20"/>
          <w:szCs w:val="20"/>
          <w:lang w:val="nl-NL"/>
        </w:rPr>
        <w:t>Contact:</w:t>
      </w:r>
    </w:p>
    <w:p w14:paraId="74DE64B0" w14:textId="77777777" w:rsidR="009A2D73" w:rsidRPr="00AB48C3" w:rsidRDefault="009A2D73" w:rsidP="009A2D73">
      <w:pPr>
        <w:spacing w:after="0"/>
        <w:jc w:val="left"/>
        <w:rPr>
          <w:rFonts w:eastAsia="Times New Roman"/>
          <w:sz w:val="20"/>
          <w:szCs w:val="20"/>
          <w:lang w:val="nl-NL"/>
        </w:rPr>
      </w:pPr>
      <w:r w:rsidRPr="00AB48C3">
        <w:rPr>
          <w:rFonts w:eastAsia="Times New Roman"/>
          <w:sz w:val="20"/>
          <w:szCs w:val="20"/>
          <w:lang w:val="nl-NL"/>
        </w:rPr>
        <w:t>Esther van Bergen, General Manager</w:t>
      </w:r>
    </w:p>
    <w:p w14:paraId="12C9A6CE" w14:textId="77777777" w:rsidR="009A2D73" w:rsidRPr="00AB48C3" w:rsidRDefault="00C70D55" w:rsidP="009A2D73">
      <w:pPr>
        <w:spacing w:after="0"/>
        <w:jc w:val="left"/>
        <w:rPr>
          <w:rFonts w:eastAsia="Times New Roman"/>
          <w:sz w:val="20"/>
          <w:szCs w:val="20"/>
          <w:lang w:val="nl-NL"/>
        </w:rPr>
      </w:pPr>
      <w:hyperlink r:id="rId10" w:history="1">
        <w:r w:rsidR="009A2D73" w:rsidRPr="00AB48C3">
          <w:rPr>
            <w:rStyle w:val="Hyperlink"/>
            <w:rFonts w:eastAsia="Times New Roman"/>
            <w:sz w:val="20"/>
            <w:szCs w:val="20"/>
            <w:lang w:val="nl-NL"/>
          </w:rPr>
          <w:t>Esther.van.Bergen@cenexgroup.nl</w:t>
        </w:r>
      </w:hyperlink>
    </w:p>
    <w:p w14:paraId="5D10F1D8" w14:textId="77777777" w:rsidR="009A2D73" w:rsidRPr="00AB48C3" w:rsidRDefault="009A2D73" w:rsidP="009A2D73">
      <w:pPr>
        <w:spacing w:after="0"/>
        <w:rPr>
          <w:sz w:val="20"/>
          <w:szCs w:val="20"/>
          <w:lang w:val="nl-NL"/>
        </w:rPr>
      </w:pPr>
      <w:r w:rsidRPr="00AB48C3">
        <w:rPr>
          <w:rFonts w:eastAsia="Times New Roman"/>
          <w:sz w:val="20"/>
          <w:szCs w:val="20"/>
          <w:lang w:val="nl-NL"/>
        </w:rPr>
        <w:t>06 - 15 69 53 63</w:t>
      </w:r>
    </w:p>
    <w:p w14:paraId="447DB8D6" w14:textId="645E263D" w:rsidR="003D40ED" w:rsidRPr="009A2D73" w:rsidRDefault="003D40ED" w:rsidP="009A2D73">
      <w:pPr>
        <w:spacing w:after="0"/>
        <w:rPr>
          <w:rFonts w:eastAsia="Times New Roman"/>
          <w:sz w:val="20"/>
          <w:szCs w:val="20"/>
          <w:lang w:val="nl-NL"/>
        </w:rPr>
      </w:pPr>
    </w:p>
    <w:sectPr w:rsidR="003D40ED" w:rsidRPr="009A2D73" w:rsidSect="008504EF">
      <w:headerReference w:type="default" r:id="rId11"/>
      <w:footerReference w:type="default" r:id="rId12"/>
      <w:pgSz w:w="11906" w:h="16838"/>
      <w:pgMar w:top="1440" w:right="991" w:bottom="1440" w:left="144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B900" w14:textId="77777777" w:rsidR="00C70D55" w:rsidRDefault="00C70D55" w:rsidP="003D40ED">
      <w:pPr>
        <w:spacing w:after="0" w:line="240" w:lineRule="auto"/>
      </w:pPr>
      <w:r>
        <w:separator/>
      </w:r>
    </w:p>
  </w:endnote>
  <w:endnote w:type="continuationSeparator" w:id="0">
    <w:p w14:paraId="097F97E9" w14:textId="77777777" w:rsidR="00C70D55" w:rsidRDefault="00C70D55" w:rsidP="003D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7F65" w14:textId="77777777" w:rsidR="005C7312" w:rsidRPr="005E432E" w:rsidRDefault="005C7312" w:rsidP="008504EF">
    <w:pPr>
      <w:autoSpaceDE w:val="0"/>
      <w:autoSpaceDN w:val="0"/>
      <w:adjustRightInd w:val="0"/>
      <w:spacing w:after="0" w:line="240" w:lineRule="auto"/>
      <w:jc w:val="center"/>
      <w:rPr>
        <w:color w:val="0C4492"/>
        <w:sz w:val="18"/>
        <w:szCs w:val="18"/>
        <w:lang w:val="nl-NL"/>
      </w:rPr>
    </w:pPr>
    <w:r w:rsidRPr="005E432E">
      <w:rPr>
        <w:color w:val="0C4492"/>
        <w:sz w:val="18"/>
        <w:szCs w:val="18"/>
        <w:lang w:val="nl-NL"/>
      </w:rPr>
      <w:t>A</w:t>
    </w:r>
    <w:r>
      <w:rPr>
        <w:color w:val="0C4492"/>
        <w:sz w:val="18"/>
        <w:szCs w:val="18"/>
        <w:lang w:val="nl-NL"/>
      </w:rPr>
      <w:t>-</w:t>
    </w:r>
    <w:r w:rsidRPr="005E432E">
      <w:rPr>
        <w:color w:val="0C4492"/>
        <w:sz w:val="18"/>
        <w:szCs w:val="18"/>
        <w:lang w:val="nl-NL"/>
      </w:rPr>
      <w:t>LAB</w:t>
    </w:r>
    <w:r>
      <w:rPr>
        <w:color w:val="0C4492"/>
        <w:sz w:val="18"/>
        <w:szCs w:val="18"/>
        <w:lang w:val="nl-NL"/>
      </w:rPr>
      <w:t xml:space="preserve"> Building</w:t>
    </w:r>
    <w:r w:rsidRPr="005E432E">
      <w:rPr>
        <w:color w:val="0C4492"/>
        <w:sz w:val="18"/>
        <w:szCs w:val="18"/>
        <w:lang w:val="nl-NL"/>
      </w:rPr>
      <w:t>, Overhoeksplein 2, 1031 KS Amsterdam, Netherlands</w:t>
    </w:r>
  </w:p>
  <w:p w14:paraId="40D02261" w14:textId="2E1E174C" w:rsidR="005C7312" w:rsidRPr="00444267" w:rsidRDefault="005C7312" w:rsidP="008504EF">
    <w:pPr>
      <w:autoSpaceDE w:val="0"/>
      <w:autoSpaceDN w:val="0"/>
      <w:adjustRightInd w:val="0"/>
      <w:spacing w:after="0" w:line="240" w:lineRule="auto"/>
      <w:jc w:val="center"/>
      <w:rPr>
        <w:color w:val="0C4492"/>
        <w:sz w:val="18"/>
        <w:szCs w:val="18"/>
      </w:rPr>
    </w:pPr>
    <w:r w:rsidRPr="00444267">
      <w:rPr>
        <w:color w:val="0C4492"/>
        <w:sz w:val="18"/>
        <w:szCs w:val="18"/>
      </w:rPr>
      <w:t xml:space="preserve">Website: cenexgroup.nl | Telephone: +31 (0)20 36 99 883 | Email: hello@cenexgroup.nl  </w:t>
    </w:r>
  </w:p>
  <w:p w14:paraId="53708019" w14:textId="77777777" w:rsidR="008504EF" w:rsidRPr="00444267" w:rsidRDefault="008504EF" w:rsidP="008504EF">
    <w:pPr>
      <w:autoSpaceDE w:val="0"/>
      <w:autoSpaceDN w:val="0"/>
      <w:adjustRightInd w:val="0"/>
      <w:spacing w:after="0" w:line="240" w:lineRule="auto"/>
      <w:jc w:val="center"/>
      <w:rPr>
        <w:color w:val="0C4492"/>
        <w:sz w:val="18"/>
        <w:szCs w:val="18"/>
      </w:rPr>
    </w:pPr>
  </w:p>
  <w:p w14:paraId="03CE2E4E" w14:textId="37CDBCE7" w:rsidR="003D40ED" w:rsidRPr="00A728EA" w:rsidRDefault="005C7312" w:rsidP="008504EF">
    <w:pPr>
      <w:spacing w:after="0" w:line="240" w:lineRule="auto"/>
      <w:jc w:val="center"/>
      <w:rPr>
        <w:color w:val="0C4492"/>
        <w:sz w:val="18"/>
        <w:szCs w:val="18"/>
        <w:lang w:val="nl-NL"/>
      </w:rPr>
    </w:pPr>
    <w:r w:rsidRPr="00A728EA">
      <w:rPr>
        <w:color w:val="0C4492"/>
        <w:sz w:val="18"/>
        <w:szCs w:val="18"/>
        <w:lang w:val="nl-NL"/>
      </w:rPr>
      <w:t>KvK Number: 71866078, Registered Address: Jollemanhof 148 1019 GW Amsterdam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98C1" w14:textId="77777777" w:rsidR="00C70D55" w:rsidRDefault="00C70D55" w:rsidP="003D40ED">
      <w:pPr>
        <w:spacing w:after="0" w:line="240" w:lineRule="auto"/>
      </w:pPr>
      <w:r>
        <w:separator/>
      </w:r>
    </w:p>
  </w:footnote>
  <w:footnote w:type="continuationSeparator" w:id="0">
    <w:p w14:paraId="088A2F45" w14:textId="77777777" w:rsidR="00C70D55" w:rsidRDefault="00C70D55" w:rsidP="003D4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F8D" w14:textId="0167B4C3" w:rsidR="003D40ED" w:rsidRPr="003D40ED" w:rsidRDefault="003D40ED" w:rsidP="003D40ED">
    <w:pPr>
      <w:pStyle w:val="Koptekst"/>
      <w:jc w:val="left"/>
    </w:pPr>
    <w:r w:rsidRPr="003D40ED">
      <w:rPr>
        <w:noProof/>
      </w:rPr>
      <w:drawing>
        <wp:anchor distT="0" distB="0" distL="114300" distR="114300" simplePos="0" relativeHeight="251658240" behindDoc="0" locked="0" layoutInCell="1" allowOverlap="1" wp14:anchorId="2162550C" wp14:editId="4AF8B75D">
          <wp:simplePos x="0" y="0"/>
          <wp:positionH relativeFrom="column">
            <wp:posOffset>5324475</wp:posOffset>
          </wp:positionH>
          <wp:positionV relativeFrom="paragraph">
            <wp:posOffset>-344805</wp:posOffset>
          </wp:positionV>
          <wp:extent cx="74295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sidRPr="003D40ED">
      <w:rPr>
        <w:noProof/>
        <w:color w:val="4472C4" w:themeColor="accent1"/>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D5B"/>
    <w:multiLevelType w:val="hybridMultilevel"/>
    <w:tmpl w:val="7016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3619"/>
    <w:multiLevelType w:val="hybridMultilevel"/>
    <w:tmpl w:val="2BB4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42561"/>
    <w:multiLevelType w:val="hybridMultilevel"/>
    <w:tmpl w:val="6860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60C05"/>
    <w:multiLevelType w:val="hybridMultilevel"/>
    <w:tmpl w:val="961C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A3CCF"/>
    <w:multiLevelType w:val="hybridMultilevel"/>
    <w:tmpl w:val="42B0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33D80"/>
    <w:multiLevelType w:val="hybridMultilevel"/>
    <w:tmpl w:val="4F8A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51641F"/>
    <w:multiLevelType w:val="hybridMultilevel"/>
    <w:tmpl w:val="97D8C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DFF1BE4"/>
    <w:multiLevelType w:val="hybridMultilevel"/>
    <w:tmpl w:val="4BFE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0"/>
  </w:num>
  <w:num w:numId="5">
    <w:abstractNumId w:val="7"/>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3NDMzM7c0NjExNDVR0lEKTi0uzszPAykwqQUAsZpTLCwAAAA="/>
  </w:docVars>
  <w:rsids>
    <w:rsidRoot w:val="003D40ED"/>
    <w:rsid w:val="00065F0A"/>
    <w:rsid w:val="00066249"/>
    <w:rsid w:val="001D3403"/>
    <w:rsid w:val="00207295"/>
    <w:rsid w:val="002937E1"/>
    <w:rsid w:val="002A4AB3"/>
    <w:rsid w:val="002F512E"/>
    <w:rsid w:val="0034438D"/>
    <w:rsid w:val="003D40ED"/>
    <w:rsid w:val="003E40FF"/>
    <w:rsid w:val="00442562"/>
    <w:rsid w:val="00444267"/>
    <w:rsid w:val="004909D0"/>
    <w:rsid w:val="005C7312"/>
    <w:rsid w:val="005E15BB"/>
    <w:rsid w:val="006A089E"/>
    <w:rsid w:val="007349A5"/>
    <w:rsid w:val="00754E8B"/>
    <w:rsid w:val="007F391F"/>
    <w:rsid w:val="00836D8B"/>
    <w:rsid w:val="008504EF"/>
    <w:rsid w:val="00890F7C"/>
    <w:rsid w:val="00930A09"/>
    <w:rsid w:val="00981B2C"/>
    <w:rsid w:val="009A2D73"/>
    <w:rsid w:val="00A30DE2"/>
    <w:rsid w:val="00A34320"/>
    <w:rsid w:val="00A728EA"/>
    <w:rsid w:val="00AB48C3"/>
    <w:rsid w:val="00B32F86"/>
    <w:rsid w:val="00C70D55"/>
    <w:rsid w:val="00C944E3"/>
    <w:rsid w:val="00D20C1A"/>
    <w:rsid w:val="00D568DA"/>
    <w:rsid w:val="00D63110"/>
    <w:rsid w:val="00D63E5C"/>
    <w:rsid w:val="00DB1A0D"/>
    <w:rsid w:val="00DD66BC"/>
    <w:rsid w:val="00DE5DAF"/>
    <w:rsid w:val="00F35D90"/>
    <w:rsid w:val="00FB1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458EE"/>
  <w15:chartTrackingRefBased/>
  <w15:docId w15:val="{CA1A92C6-0501-46AB-82AA-296CBF0E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5DAF"/>
    <w:pPr>
      <w:jc w:val="both"/>
    </w:pPr>
    <w:rPr>
      <w:rFonts w:ascii="Helvetica" w:hAnsi="Helvetica"/>
    </w:rPr>
  </w:style>
  <w:style w:type="paragraph" w:styleId="Kop1">
    <w:name w:val="heading 1"/>
    <w:basedOn w:val="Standaard"/>
    <w:next w:val="Standaard"/>
    <w:link w:val="Kop1Char"/>
    <w:uiPriority w:val="9"/>
    <w:qFormat/>
    <w:rsid w:val="003D40ED"/>
    <w:pPr>
      <w:keepNext/>
      <w:keepLines/>
      <w:spacing w:before="240" w:after="0"/>
      <w:outlineLvl w:val="0"/>
    </w:pPr>
    <w:rPr>
      <w:rFonts w:eastAsiaTheme="majorEastAsia"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40E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D40ED"/>
  </w:style>
  <w:style w:type="paragraph" w:styleId="Voettekst">
    <w:name w:val="footer"/>
    <w:basedOn w:val="Standaard"/>
    <w:link w:val="VoettekstChar"/>
    <w:uiPriority w:val="99"/>
    <w:unhideWhenUsed/>
    <w:rsid w:val="003D40E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D40ED"/>
  </w:style>
  <w:style w:type="paragraph" w:styleId="Lijstalinea">
    <w:name w:val="List Paragraph"/>
    <w:basedOn w:val="Standaard"/>
    <w:uiPriority w:val="34"/>
    <w:qFormat/>
    <w:rsid w:val="003D40ED"/>
    <w:pPr>
      <w:spacing w:after="0" w:line="240" w:lineRule="auto"/>
      <w:ind w:left="720"/>
    </w:pPr>
    <w:rPr>
      <w:rFonts w:ascii="Calibri" w:hAnsi="Calibri" w:cs="Calibri"/>
    </w:rPr>
  </w:style>
  <w:style w:type="character" w:customStyle="1" w:styleId="Kop1Char">
    <w:name w:val="Kop 1 Char"/>
    <w:basedOn w:val="Standaardalinea-lettertype"/>
    <w:link w:val="Kop1"/>
    <w:uiPriority w:val="9"/>
    <w:rsid w:val="003D40ED"/>
    <w:rPr>
      <w:rFonts w:ascii="Helvetica" w:eastAsiaTheme="majorEastAsia" w:hAnsi="Helvetica" w:cstheme="majorBidi"/>
      <w:color w:val="2F5496" w:themeColor="accent1" w:themeShade="BF"/>
      <w:sz w:val="32"/>
      <w:szCs w:val="32"/>
    </w:rPr>
  </w:style>
  <w:style w:type="paragraph" w:styleId="Normaalweb">
    <w:name w:val="Normal (Web)"/>
    <w:basedOn w:val="Standaard"/>
    <w:uiPriority w:val="99"/>
    <w:semiHidden/>
    <w:unhideWhenUsed/>
    <w:rsid w:val="003D40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Standaardalinea-lettertype"/>
    <w:uiPriority w:val="99"/>
    <w:unhideWhenUsed/>
    <w:rsid w:val="003D40ED"/>
    <w:rPr>
      <w:color w:val="0563C1" w:themeColor="hyperlink"/>
      <w:u w:val="single"/>
    </w:rPr>
  </w:style>
  <w:style w:type="character" w:styleId="Onopgelostemelding">
    <w:name w:val="Unresolved Mention"/>
    <w:basedOn w:val="Standaardalinea-lettertype"/>
    <w:uiPriority w:val="99"/>
    <w:semiHidden/>
    <w:unhideWhenUsed/>
    <w:rsid w:val="003D40ED"/>
    <w:rPr>
      <w:color w:val="605E5C"/>
      <w:shd w:val="clear" w:color="auto" w:fill="E1DFDD"/>
    </w:rPr>
  </w:style>
  <w:style w:type="paragraph" w:styleId="Ballontekst">
    <w:name w:val="Balloon Text"/>
    <w:basedOn w:val="Standaard"/>
    <w:link w:val="BallontekstChar"/>
    <w:uiPriority w:val="99"/>
    <w:semiHidden/>
    <w:unhideWhenUsed/>
    <w:rsid w:val="00930A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0A09"/>
    <w:rPr>
      <w:rFonts w:ascii="Segoe UI" w:hAnsi="Segoe UI" w:cs="Segoe UI"/>
      <w:sz w:val="18"/>
      <w:szCs w:val="18"/>
    </w:rPr>
  </w:style>
  <w:style w:type="character" w:styleId="Verwijzingopmerking">
    <w:name w:val="annotation reference"/>
    <w:basedOn w:val="Standaardalinea-lettertype"/>
    <w:uiPriority w:val="99"/>
    <w:semiHidden/>
    <w:unhideWhenUsed/>
    <w:rsid w:val="00754E8B"/>
    <w:rPr>
      <w:sz w:val="16"/>
      <w:szCs w:val="16"/>
    </w:rPr>
  </w:style>
  <w:style w:type="paragraph" w:styleId="Tekstopmerking">
    <w:name w:val="annotation text"/>
    <w:basedOn w:val="Standaard"/>
    <w:link w:val="TekstopmerkingChar"/>
    <w:uiPriority w:val="99"/>
    <w:semiHidden/>
    <w:unhideWhenUsed/>
    <w:rsid w:val="00754E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4E8B"/>
    <w:rPr>
      <w:rFonts w:ascii="Helvetica" w:hAnsi="Helvetica"/>
      <w:sz w:val="20"/>
      <w:szCs w:val="20"/>
    </w:rPr>
  </w:style>
  <w:style w:type="paragraph" w:styleId="Onderwerpvanopmerking">
    <w:name w:val="annotation subject"/>
    <w:basedOn w:val="Tekstopmerking"/>
    <w:next w:val="Tekstopmerking"/>
    <w:link w:val="OnderwerpvanopmerkingChar"/>
    <w:uiPriority w:val="99"/>
    <w:semiHidden/>
    <w:unhideWhenUsed/>
    <w:rsid w:val="00754E8B"/>
    <w:rPr>
      <w:b/>
      <w:bCs/>
    </w:rPr>
  </w:style>
  <w:style w:type="character" w:customStyle="1" w:styleId="OnderwerpvanopmerkingChar">
    <w:name w:val="Onderwerp van opmerking Char"/>
    <w:basedOn w:val="TekstopmerkingChar"/>
    <w:link w:val="Onderwerpvanopmerking"/>
    <w:uiPriority w:val="99"/>
    <w:semiHidden/>
    <w:rsid w:val="00754E8B"/>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351604">
      <w:bodyDiv w:val="1"/>
      <w:marLeft w:val="0"/>
      <w:marRight w:val="0"/>
      <w:marTop w:val="0"/>
      <w:marBottom w:val="0"/>
      <w:divBdr>
        <w:top w:val="none" w:sz="0" w:space="0" w:color="auto"/>
        <w:left w:val="none" w:sz="0" w:space="0" w:color="auto"/>
        <w:bottom w:val="none" w:sz="0" w:space="0" w:color="auto"/>
        <w:right w:val="none" w:sz="0" w:space="0" w:color="auto"/>
      </w:divBdr>
    </w:div>
    <w:div w:id="21373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exgroup.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ther.van.Bergen@cenexgroup.nl" TargetMode="External"/><Relationship Id="rId4" Type="http://schemas.openxmlformats.org/officeDocument/2006/relationships/settings" Target="settings.xml"/><Relationship Id="rId9" Type="http://schemas.openxmlformats.org/officeDocument/2006/relationships/hyperlink" Target="https://www.cenex.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719777-0237-4A2E-8EA3-38B1B94A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 van der Hoogt</dc:creator>
  <cp:keywords/>
  <dc:description/>
  <cp:lastModifiedBy>Jorden Vander Hoogt</cp:lastModifiedBy>
  <cp:revision>3</cp:revision>
  <dcterms:created xsi:type="dcterms:W3CDTF">2021-06-08T15:42:00Z</dcterms:created>
  <dcterms:modified xsi:type="dcterms:W3CDTF">2021-06-08T15:42:00Z</dcterms:modified>
</cp:coreProperties>
</file>